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b/>
          <w:i w:val="0"/>
          <w:color w:val="3A86C8"/>
          <w:sz w:val="36"/>
        </w:rPr>
        <w:t>Behavior Management Plan</w:t>
      </w:r>
    </w:p>
    <w:p>
      <w:pPr>
        <w:spacing w:after="200"/>
        <w:jc w:val="center"/>
      </w:pPr>
      <w:r>
        <w:rPr>
          <w:b w:val="0"/>
          <w:i/>
          <w:sz w:val="19"/>
        </w:rPr>
        <w:t>Benjamin Cunningham · Moreland University · ED504 · Methods subject: English as a Second Language</w:t>
      </w:r>
    </w:p>
    <w:p>
      <w:pPr>
        <w:spacing w:after="80"/>
      </w:pPr>
      <w:r>
        <w:rPr>
          <w:b/>
        </w:rPr>
        <w:t xml:space="preserve">Date: </w:t>
      </w:r>
      <w:r>
        <w:t xml:space="preserve">October 18, 2026        </w:t>
      </w:r>
      <w:r>
        <w:rPr>
          <w:b/>
        </w:rPr>
        <w:t xml:space="preserve">Duration of Intervention: </w:t>
      </w:r>
      <w:r>
        <w:t>8 weeks (weeks 1–8), with a formal review at week 4 and week 8; two weeks of ABC baseline before week 1</w:t>
      </w:r>
    </w:p>
    <w:p>
      <w:pPr>
        <w:spacing w:after="80"/>
      </w:pPr>
      <w:r>
        <w:rPr>
          <w:b/>
        </w:rPr>
        <w:t xml:space="preserve">Student: </w:t>
      </w:r>
      <w:r>
        <w:t xml:space="preserve">"Tee" (pseudonym; a composite case-study student, details changed), an English language learner (WIDA level 1, Entering; Isan at home, Thai at school)        </w:t>
      </w:r>
      <w:r>
        <w:rPr>
          <w:b/>
        </w:rPr>
        <w:t xml:space="preserve">Class/Grade: </w:t>
      </w:r>
      <w:r>
        <w:t>Prathom 5 (grade 5, age 11), English, Ban Han Hee School, Rattanaburi, Surin, Thailand</w:t>
      </w:r>
    </w:p>
    <w:p>
      <w:pPr>
        <w:spacing w:after="160"/>
      </w:pPr>
      <w:r>
        <w:rPr>
          <w:b w:val="0"/>
          <w:i w:val="0"/>
          <w:sz w:val="20"/>
        </w:rPr>
        <w:t>Case-study summary. Tee lives with his grandmother; his mother works in Bangkok and his father on the Eastern Seaboard. He walks the family cattle before school and often eats for the first time at the school lunch. He is the best oral storyteller in the class in Isan, quick with money and weights at the market, a football leader, and a mor lam singer. Two weeks of ABC data (antecedent, behavior, consequence) and a home visit with my Thai co-teacher showed that his problem behaviors cluster around the first lesson of the day, any task whose text is only in English, and transitions in which he has no job; the usual consequences were attention (laughter, a public correction) or escape (the task quietly dropped). The functions behind the behaviors are attention and status (belonging), escape from failure in front of peers (esteem), and physiological needs (hunger, sleep). The full plan, with the data, the teaching of each replacement behavior, the response ladder and the references, is published at benjamincunningham.com/lep/behavior-improvement-plan.html.</w:t>
      </w:r>
    </w:p>
    <w:p>
      <w:pPr>
        <w:spacing w:before="200" w:after="80"/>
      </w:pPr>
      <w:r>
        <w:rPr>
          <w:b/>
        </w:rPr>
        <w:t>Disruptive Behaviors</w:t>
      </w:r>
      <w:r>
        <w:rPr>
          <w:b w:val="0"/>
        </w:rPr>
        <w:t xml:space="preserve"> (defined so that two adults would count them the same way; baseline from two weeks of ABC data)</w:t>
      </w:r>
    </w:p>
    <w:tbl>
      <w:tblPr>
        <w:tblW w:type="auto" w:w="0"/>
        <w:jc w:val="center"/>
        <w:tblLook w:firstColumn="1" w:firstRow="1" w:lastColumn="0" w:lastRow="0" w:noHBand="0" w:noVBand="1" w:val="04A0"/>
      </w:tblPr>
      <w:tblGrid>
        <w:gridCol w:w="9072"/>
      </w:tblGrid>
      <w:tr>
        <w:tc>
          <w:tcPr>
            <w:tcW w:type="dxa" w:w="9072"/>
            <w:tcBorders>
              <w:top w:val="single" w:sz="6" w:color="000000"/>
              <w:left w:val="single" w:sz="6" w:color="000000"/>
              <w:bottom w:val="single" w:sz="6" w:color="000000"/>
              <w:right w:val="single" w:sz="6" w:color="000000"/>
            </w:tcBorders>
          </w:tcPr>
          <w:p>
            <w:pPr>
              <w:spacing w:after="80"/>
            </w:pPr>
            <w:r/>
            <w:r>
              <w:t>1. Calling out: speaking without a signal during teacher instruction (jokes, answers, comments loud enough for the class). Baseline: 8 per 50-minute lesson (range 4–13). Function: attention and status.</w:t>
            </w:r>
          </w:p>
          <w:p>
            <w:pPr>
              <w:spacing w:after="80"/>
            </w:pPr>
            <w:r>
              <w:t>2. Out of seat: leaving his place during independent or pair work without permission, wandering to other tables for more than ten seconds. Baseline: on task in 45% of observed intervals; out of seat 5–6 times a lesson. Function: escape from a text he cannot read; movement; social contact.</w:t>
            </w:r>
          </w:p>
          <w:p>
            <w:pPr>
              <w:spacing w:after="80"/>
            </w:pPr>
            <w:r>
              <w:t>3. Work refusal: head on the desk, worksheet pushed away, or "mai tham" ("not doing it") within two minutes of an English reading or writing task; no attempt in five minutes. Baseline: 7 of 12 lessons with an English text task. Function: escape from failure in front of peers.</w:t>
            </w:r>
          </w:p>
          <w:p>
            <w:pPr>
              <w:spacing w:after="80"/>
            </w:pPr>
            <w:r>
              <w:t>4. Teasing and mocking: imitating a classmate's English pronunciation or reading, laughing at a mistake, or a put-down in Thai or Isan directed at a peer. Baseline: 3 incidents a day; two children targeted repeatedly. Function: status in the peer group; deflecting from his own English. Priority behavior, because it harms others.</w:t>
            </w:r>
          </w:p>
          <w:p>
            <w:pPr>
              <w:spacing w:after="80"/>
            </w:pPr>
            <w:r>
              <w:t>5. Transition disruption: the slow walk after the signal, pulling or kicking chairs, pushing in the line, starting a game; transition not completed in the target time because of him. Baseline: 60% of transitions; 4 chair or pushing incidents in two weeks. Function: attention; escape from the next task; movement.</w:t>
            </w:r>
          </w:p>
          <w:p>
            <w:pPr>
              <w:spacing w:after="80"/>
            </w:pPr>
            <w:r>
              <w:t>6. Late and unready mornings: arriving after 8:30, or on time with head down and no engagement in the first lesson; no materials out in the first ten minutes. Baseline: late 3 of 5 days; head down in the first lesson 4 of 5 days. Function: physiological (hunger, sleep).</w:t>
            </w:r>
          </w:p>
        </w:tc>
      </w:tr>
    </w:tbl>
    <w:p>
      <w:pPr>
        <w:spacing w:after="40"/>
      </w:pPr>
    </w:p>
    <w:p>
      <w:pPr>
        <w:spacing w:before="200" w:after="80"/>
      </w:pPr>
      <w:r>
        <w:rPr>
          <w:b/>
        </w:rPr>
        <w:t>SMART Goals</w:t>
      </w:r>
      <w:r>
        <w:rPr>
          <w:b w:val="0"/>
        </w:rPr>
        <w:t xml:space="preserve"> (Specific, Measurable, Achievable, Relevant, Time-bound)</w:t>
      </w:r>
    </w:p>
    <w:tbl>
      <w:tblPr>
        <w:tblW w:type="auto" w:w="0"/>
        <w:jc w:val="center"/>
        <w:tblLook w:firstColumn="1" w:firstRow="1" w:lastColumn="0" w:lastRow="0" w:noHBand="0" w:noVBand="1" w:val="04A0"/>
      </w:tblPr>
      <w:tblGrid>
        <w:gridCol w:w="9072"/>
      </w:tblGrid>
      <w:tr>
        <w:tc>
          <w:tcPr>
            <w:tcW w:type="dxa" w:w="9072"/>
            <w:tcBorders>
              <w:top w:val="single" w:sz="6" w:color="000000"/>
              <w:left w:val="single" w:sz="6" w:color="000000"/>
              <w:bottom w:val="single" w:sz="6" w:color="000000"/>
              <w:right w:val="single" w:sz="6" w:color="000000"/>
            </w:tcBorders>
          </w:tcPr>
          <w:p>
            <w:pPr>
              <w:spacing w:after="80"/>
            </w:pPr>
            <w:r/>
            <w:r>
              <w:t>1. By the end of week 8, Tee will get the teacher's attention by raising his hand or placing his trilingual help card on the desk instead of calling out, reducing call-outs from 8 per lesson to 2 or fewer in 4 of 5 lessons, as counted on the lesson tally by the co-teacher (interim: 5 or fewer by week 4).</w:t>
            </w:r>
          </w:p>
          <w:p>
            <w:pPr>
              <w:spacing w:after="80"/>
            </w:pPr>
            <w:r>
              <w:t>2. By the end of week 8, Tee will be on task during independent work in at least 80% of 1-minute intervals (from 45%) in 3 of 4 observations, using the break pass no more than twice a lesson, as measured by momentary time sampling twice a week (interim: 65% by week 4).</w:t>
            </w:r>
          </w:p>
          <w:p>
            <w:pPr>
              <w:spacing w:after="80"/>
            </w:pPr>
            <w:r>
              <w:t>3. By the end of week 6, Tee will start every English reading or writing task within two minutes, using the Thai-gloss version or his buddy, in 4 of 5 lessons (from refusal in 7 of 12), and complete the task at his WIDA 1 level in 3 of 5, as recorded on the daily card (interim: 3 of 5 by week 3).</w:t>
            </w:r>
          </w:p>
          <w:p>
            <w:pPr>
              <w:spacing w:after="80"/>
            </w:pPr>
            <w:r>
              <w:t>4. By the end of week 8, Tee will have zero mocking incidents on the ABC log for three consecutive weeks (from 3 a day) and will record at least 3 peer-praise or peer-help acts ("tootles") a week (interim: 1 or fewer incidents a day by week 3).</w:t>
            </w:r>
          </w:p>
          <w:p>
            <w:pPr>
              <w:spacing w:after="80"/>
            </w:pPr>
            <w:r>
              <w:t>5. By the end of week 6, Tee will complete 90% of transitions within the target time with hands and feet to himself, in his timer-and-door job (from disrupting 60%), with zero chair or pushing incidents for four consecutive weeks, as recorded on the transition log and the daily card.</w:t>
            </w:r>
          </w:p>
          <w:p>
            <w:pPr>
              <w:spacing w:after="80"/>
            </w:pPr>
            <w:r>
              <w:t>6. By the end of week 8, Tee will arrive by 8:30 on 4 of 5 days (from 2 of 5) and will be "ready" (breakfast taken, materials out, Do-Now started) on 4 of 5 days (from 1 of 5), as recorded on the morning check-in card (interim: on time 3 of 5 by week 4).</w:t>
            </w:r>
          </w:p>
          <w:p>
            <w:pPr>
              <w:spacing w:after="80"/>
            </w:pPr>
            <w:r>
              <w:t>7. Academic goal: by the end of week 8, Tee's "words I own" on the Friday Plickers word-wall quiz will rise from 9 to 40, he will read a 40-word WIDA 1 text aloud to his buddy, and he will author one class-book page in English with the Isan beside it; the plan is judged a failure if behavior improves and learning does not.</w:t>
            </w:r>
          </w:p>
        </w:tc>
      </w:tr>
    </w:tbl>
    <w:p>
      <w:pPr>
        <w:spacing w:after="40"/>
      </w:pPr>
    </w:p>
    <w:p>
      <w:pPr>
        <w:spacing w:before="200" w:after="80"/>
      </w:pPr>
      <w:r>
        <w:rPr>
          <w:b/>
        </w:rPr>
        <w:t>Target Replacement Behaviors</w:t>
      </w:r>
      <w:r>
        <w:rPr>
          <w:b w:val="0"/>
        </w:rPr>
        <w:t xml:space="preserve"> (Behaviors to replace the disruptive behaviors; each is taught explicitly, cued before it is needed, and reinforced)</w:t>
      </w:r>
    </w:p>
    <w:tbl>
      <w:tblPr>
        <w:tblW w:type="auto" w:w="0"/>
        <w:jc w:val="center"/>
        <w:tblLook w:firstColumn="1" w:firstRow="1" w:lastColumn="0" w:lastRow="0" w:noHBand="0" w:noVBand="1" w:val="04A0"/>
      </w:tblPr>
      <w:tblGrid>
        <w:gridCol w:w="9072"/>
      </w:tblGrid>
      <w:tr>
        <w:tc>
          <w:tcPr>
            <w:tcW w:type="dxa" w:w="9072"/>
            <w:tcBorders>
              <w:top w:val="single" w:sz="6" w:color="000000"/>
              <w:left w:val="single" w:sz="6" w:color="000000"/>
              <w:bottom w:val="single" w:sz="6" w:color="000000"/>
              <w:right w:val="single" w:sz="6" w:color="000000"/>
            </w:tcBorders>
          </w:tcPr>
          <w:p>
            <w:pPr>
              <w:spacing w:after="80"/>
            </w:pPr>
            <w:r/>
            <w:r>
              <w:rPr>
                <w:b/>
              </w:rPr>
              <w:t xml:space="preserve">1. </w:t>
            </w:r>
            <w:r>
              <w:rPr>
                <w:b/>
              </w:rPr>
              <w:t xml:space="preserve">Disruptive behavior: calling out. </w:t>
            </w:r>
            <w:r>
              <w:t>Target replacement behavior: raise a hand and wait, or place the trilingual help card ("I have an idea" / "I need help", in English, Thai and Isan) on the desk and keep working; called on within ten seconds for the first two weeks, then on a thinning schedule.</w:t>
            </w:r>
          </w:p>
          <w:p>
            <w:pPr>
              <w:spacing w:after="80"/>
            </w:pPr>
            <w:r>
              <w:rPr>
                <w:b/>
              </w:rPr>
              <w:t xml:space="preserve">2. </w:t>
            </w:r>
            <w:r>
              <w:rPr>
                <w:b/>
              </w:rPr>
              <w:t xml:space="preserve">Disruptive behavior: out of seat. </w:t>
            </w:r>
            <w:r>
              <w:t>Target replacement behavior: take the laminated break pass, walk to the water and back within two minutes on the Classroomscreen timer, return to the task; at most twice a lesson.</w:t>
            </w:r>
          </w:p>
          <w:p>
            <w:pPr>
              <w:spacing w:after="80"/>
            </w:pPr>
            <w:r>
              <w:rPr>
                <w:b/>
              </w:rPr>
              <w:t xml:space="preserve">3. </w:t>
            </w:r>
            <w:r>
              <w:rPr>
                <w:b/>
              </w:rPr>
              <w:t xml:space="preserve">Disruptive behavior: work refusal. </w:t>
            </w:r>
            <w:r>
              <w:t>Target replacement behavior: ask for the Thai-gloss version ("Thai version, please"), or ask the buddy in Isan what the task is, and start the first item within two minutes ("do three, show me").</w:t>
            </w:r>
          </w:p>
          <w:p>
            <w:pPr>
              <w:spacing w:after="80"/>
            </w:pPr>
            <w:r>
              <w:rPr>
                <w:b/>
              </w:rPr>
              <w:t xml:space="preserve">4. </w:t>
            </w:r>
            <w:r>
              <w:rPr>
                <w:b/>
              </w:rPr>
              <w:t xml:space="preserve">Disruptive behavior: teasing and mocking. </w:t>
            </w:r>
            <w:r>
              <w:t>Target replacement behavior: "tootling": write or tell one thing a classmate did well in English each day on a tootle slip, in any language; respond to a peer's mistake with the class phrase "mai pen rai, try again" or silence.</w:t>
            </w:r>
          </w:p>
          <w:p>
            <w:pPr>
              <w:spacing w:after="80"/>
            </w:pPr>
            <w:r>
              <w:rPr>
                <w:b/>
              </w:rPr>
              <w:t xml:space="preserve">5. </w:t>
            </w:r>
            <w:r>
              <w:rPr>
                <w:b/>
              </w:rPr>
              <w:t xml:space="preserve">Disruptive behavior: transition disruption. </w:t>
            </w:r>
            <w:r>
              <w:t>Target replacement behavior: be the timer-and-door monitor: start the timer on the signal, stand at the door, count the class through, report the time.</w:t>
            </w:r>
          </w:p>
          <w:p>
            <w:pPr>
              <w:spacing w:after="80"/>
            </w:pPr>
            <w:r>
              <w:rPr>
                <w:b/>
              </w:rPr>
              <w:t xml:space="preserve">6. </w:t>
            </w:r>
            <w:r>
              <w:rPr>
                <w:b/>
              </w:rPr>
              <w:t xml:space="preserve">Disruptive behavior: late and unready mornings. </w:t>
            </w:r>
            <w:r>
              <w:t>Target replacement behavior: the morning routine: arrive, take something from the snack shelf, check in with the co-teacher (two sentences in Isan), materials out, Do-Now on the screen started, three boxes ticked.</w:t>
            </w:r>
          </w:p>
        </w:tc>
      </w:tr>
    </w:tbl>
    <w:p>
      <w:pPr>
        <w:spacing w:after="40"/>
      </w:pPr>
    </w:p>
    <w:p>
      <w:pPr>
        <w:spacing w:before="200" w:after="80"/>
      </w:pPr>
      <w:r>
        <w:rPr>
          <w:b/>
        </w:rPr>
        <w:t>Methods to Monitor</w:t>
      </w:r>
      <w:r>
        <w:rPr>
          <w:b w:val="0"/>
        </w:rPr>
        <w:t xml:space="preserve"> (How progress is tracked, by whom, how often, and the decision rule for each)</w:t>
      </w:r>
    </w:p>
    <w:tbl>
      <w:tblPr>
        <w:tblW w:type="auto" w:w="0"/>
        <w:jc w:val="center"/>
        <w:tblLook w:firstColumn="1" w:firstRow="1" w:lastColumn="0" w:lastRow="0" w:noHBand="0" w:noVBand="1" w:val="04A0"/>
      </w:tblPr>
      <w:tblGrid>
        <w:gridCol w:w="9072"/>
      </w:tblGrid>
      <w:tr>
        <w:tc>
          <w:tcPr>
            <w:tcW w:type="dxa" w:w="9072"/>
            <w:tcBorders>
              <w:top w:val="single" w:sz="6" w:color="000000"/>
              <w:left w:val="single" w:sz="6" w:color="000000"/>
              <w:bottom w:val="single" w:sz="6" w:color="000000"/>
              <w:right w:val="single" w:sz="6" w:color="000000"/>
            </w:tcBorders>
          </w:tcPr>
          <w:p>
            <w:pPr>
              <w:spacing w:after="80"/>
            </w:pPr>
            <w:r/>
            <w:r>
              <w:t>1. ABC incident log (Google Form with a "need" column): every teasing incident and any other incident, same day, both teachers. Rule: three teasing incidents in a week after week 3 triggers a plan review.</w:t>
            </w:r>
          </w:p>
          <w:p>
            <w:pPr>
              <w:spacing w:after="80"/>
            </w:pPr>
            <w:r>
              <w:t>2. Frequency tally of call-outs, hand-raises and help-card uses on a paper tally or the Classroomscreen counter: three lessons a day, co-teacher. Rule: no fall by week 4 means the attention function is not being met; shorten instruction and increase the rate of calling on him.</w:t>
            </w:r>
          </w:p>
          <w:p>
            <w:pPr>
              <w:spacing w:after="80"/>
            </w:pPr>
            <w:r>
              <w:t>3. Momentary time sampling of on-task behavior (1-minute intervals over 10 minutes of independent work): twice a week, teacher. Rule: below 65% at week 4 means the task is still too hard; check the Thai-gloss version is really on his desk first.</w:t>
            </w:r>
          </w:p>
          <w:p>
            <w:pPr>
              <w:spacing w:after="80"/>
            </w:pPr>
            <w:r>
              <w:t>4. Daily check-in/check-out card: the six behaviors scored 0–2 per lesson and three morning boxes; co-teacher morning and afternoon, family tick every night, Friday review. Rule: 80% of available points for four consecutive weeks begins the fade.</w:t>
            </w:r>
          </w:p>
          <w:p>
            <w:pPr>
              <w:spacing w:after="80"/>
            </w:pPr>
            <w:r>
              <w:t>5. Tee's self-monitoring card (his own tally of call-outs and hand-raises) compared with the teacher's count every lesson from week 2; a match within two earns a bonus point. Rule: a persistent gap means the behavior is not yet visible to him; precorrection increases.</w:t>
            </w:r>
          </w:p>
          <w:p>
            <w:pPr>
              <w:spacing w:after="80"/>
            </w:pPr>
            <w:r>
              <w:t>6. Transition timer log and the daily card's transition line, every transition, kept by Tee as timer and checked by the co-teacher. Rule: an incident in a transition where he had no job means the job rota failed, not Tee.</w:t>
            </w:r>
          </w:p>
          <w:p>
            <w:pPr>
              <w:spacing w:after="80"/>
            </w:pPr>
            <w:r>
              <w:t>7. Register arrival time and the breakfast/readiness boxes, daily, co-teacher. Rule: late three days in a week triggers a voice note to the grandmother and, if it continues, a home visit.</w:t>
            </w:r>
          </w:p>
          <w:p>
            <w:pPr>
              <w:spacing w:after="80"/>
            </w:pPr>
            <w:r>
              <w:t>8. Academic probes: the Friday Plickers word-wall quiz ("words I own"), the partner reading, the class-book page, and tootle slips counted, weekly. Rule: behavior up and words flat by week 4 means the plan is managing him, not teaching him; revise the texts. Plus a fortnightly fidelity check by the co-teacher on five teacher behaviors (gloss version on the desk, call-outs ignored and hands answered, precorrection given, private not public correction, four positives to one correction).</w:t>
            </w:r>
          </w:p>
        </w:tc>
      </w:tr>
    </w:tbl>
    <w:p>
      <w:pPr>
        <w:spacing w:after="40"/>
      </w:pPr>
    </w:p>
    <w:p>
      <w:pPr>
        <w:spacing w:before="200" w:after="80"/>
      </w:pPr>
      <w:r>
        <w:rPr>
          <w:b/>
        </w:rPr>
        <w:t>Family Communication</w:t>
      </w:r>
      <w:r>
        <w:rPr>
          <w:b w:val="0"/>
        </w:rPr>
        <w:t xml:space="preserve"> (platform and frequency; everything in Thai, by voice where reading is a barrier, good news first; nothing about Tee in the class group)</w:t>
      </w:r>
    </w:p>
    <w:tbl>
      <w:tblPr>
        <w:tblW w:type="auto" w:w="0"/>
        <w:jc w:val="center"/>
        <w:tblLook w:firstColumn="1" w:firstRow="1" w:lastColumn="0" w:lastRow="0" w:noHBand="0" w:noVBand="1" w:val="04A0"/>
      </w:tblPr>
      <w:tblGrid>
        <w:gridCol w:w="9072"/>
      </w:tblGrid>
      <w:tr>
        <w:tc>
          <w:tcPr>
            <w:tcW w:type="dxa" w:w="9072"/>
            <w:tcBorders>
              <w:top w:val="single" w:sz="6" w:color="000000"/>
              <w:left w:val="single" w:sz="6" w:color="000000"/>
              <w:bottom w:val="single" w:sz="6" w:color="000000"/>
              <w:right w:val="single" w:sz="6" w:color="000000"/>
            </w:tcBorders>
          </w:tcPr>
          <w:p>
            <w:pPr>
              <w:spacing w:after="80"/>
            </w:pPr>
            <w:r/>
            <w:r>
              <w:t>1. Home visit, in person at the grandmother's house within the school's student support system: week 1, week 8 and each term; in Isan and Thai with the co-teacher; the strengths card, the plan explained, the consent signed, the grandmother's own goal for Tee, the morning routine agreed.</w:t>
            </w:r>
          </w:p>
          <w:p>
            <w:pPr>
              <w:spacing w:after="80"/>
            </w:pPr>
            <w:r>
              <w:t>2. Daily check-in/check-out card home in the folder and back: every school day; in Thai with pictures; signed with a tick by any adult; the day's points and one good thing.</w:t>
            </w:r>
          </w:p>
          <w:p>
            <w:pPr>
              <w:spacing w:after="80"/>
            </w:pPr>
            <w:r>
              <w:t>3. Friday voice note on LINE, one-to-one to the grandmother: weekly, Friday afternoon, 60 seconds in Thai recorded by the co-teacher; the week's mornings, the tootles he wrote, the words he owns, a question for the weekend; her voice reply.</w:t>
            </w:r>
          </w:p>
          <w:p>
            <w:pPr>
              <w:spacing w:after="80"/>
            </w:pPr>
            <w:r>
              <w:t>4. "Tee reads to me" video call on LINE from the classroom to his mother in Bangkok (and his father when he can): monthly, plus the week-4 and week-8 reviews; Tee reads his class-book page or the week's text and the parent asks one question.</w:t>
            </w:r>
          </w:p>
          <w:p>
            <w:pPr>
              <w:spacing w:after="80"/>
            </w:pPr>
            <w:r>
              <w:t>5. ClassDojo family connection on the grandmother's phone, set up at the home visit, messages translated to Thai: points visible daily, a message weekly; the same six categories as the card; no individual incidents in the Class Story.</w:t>
            </w:r>
          </w:p>
          <w:p>
            <w:pPr>
              <w:spacing w:after="80"/>
            </w:pPr>
            <w:r>
              <w:t>6. Phone call from the co-teacher in Isan: the same day for anything serious (a teasing incident, reported with the repair he made), and a positive call with no agenda every two weeks.</w:t>
            </w:r>
          </w:p>
          <w:p>
            <w:pPr>
              <w:spacing w:after="80"/>
            </w:pPr>
            <w:r>
              <w:t>7. Term parents' meeting with a student-led conference (in person, or by video for the mother): each term; Tee shows his graph, his words owned and his page; the family sets the next goal on a bilingual goal card, re-signed every four weeks.</w:t>
            </w:r>
          </w:p>
        </w:tc>
      </w:tr>
    </w:tbl>
    <w:p>
      <w:pPr>
        <w:spacing w:after="40"/>
      </w:pPr>
    </w:p>
    <w:p>
      <w:pPr>
        <w:spacing w:before="200" w:after="80"/>
      </w:pPr>
      <w:r>
        <w:rPr>
          <w:b/>
        </w:rPr>
        <w:t>ESL Methods: Culturally and Linguistically Relevant Strategies, Materials and Tools</w:t>
      </w:r>
    </w:p>
    <w:p>
      <w:pPr>
        <w:spacing w:after="120"/>
      </w:pPr>
      <w:r>
        <w:rPr>
          <w:b w:val="0"/>
          <w:i w:val="0"/>
          <w:sz w:val="20"/>
        </w:rPr>
        <w:t>The frame is culturally relevant pedagogy (Ladson-Billings, 1995), culturally responsive teaching (Gay, 2010; Hammond, 2015) and culturally sustaining pedagogy (Paris and Alim, 2017), with the second-language aims of lowering the affective filter (Krashen, 1982) and letting Tee use everything he knows in every language (Cummins, 2001; García and Wei, 2014). Strategies that make the whole classroom more relevant: the trilingual word wall with the children's own Isan, Kui and Khmer lines; a three-level library with the village's stories in it; greetings in the home languages at the door; class agreements written together in Thai and English; the Friday storytelling stage with the district competition's own score sheet; families as co-teachers of content; the farming and temple calendar respected in planning; private correction as the rule for everyone, which is both good behavior management and respect for face (naa); and the Thai co-teacher as the Isan voice of every routine. The strategies, materials and tools for each goal:</w:t>
      </w:r>
    </w:p>
    <w:tbl>
      <w:tblPr>
        <w:tblStyle w:val="TableGrid"/>
        <w:tblW w:type="auto" w:w="0"/>
        <w:tblLook w:firstColumn="1" w:firstRow="1" w:lastColumn="0" w:lastRow="0" w:noHBand="0" w:noVBand="1" w:val="04A0"/>
      </w:tblPr>
      <w:tblGrid>
        <w:gridCol w:w="3024"/>
        <w:gridCol w:w="3024"/>
        <w:gridCol w:w="3024"/>
      </w:tblGrid>
      <w:tr>
        <w:tc>
          <w:tcPr>
            <w:tcW w:type="dxa" w:w="1440"/>
          </w:tcPr>
          <w:p>
            <w:r/>
            <w:r>
              <w:rPr>
                <w:b/>
                <w:sz w:val="18"/>
              </w:rPr>
              <w:t>Goal</w:t>
            </w:r>
          </w:p>
        </w:tc>
        <w:tc>
          <w:tcPr>
            <w:tcW w:type="dxa" w:w="4608"/>
          </w:tcPr>
          <w:p>
            <w:r/>
            <w:r>
              <w:rPr>
                <w:b/>
                <w:sz w:val="18"/>
              </w:rPr>
              <w:t>Culturally and linguistically relevant strategy</w:t>
            </w:r>
          </w:p>
        </w:tc>
        <w:tc>
          <w:tcPr>
            <w:tcW w:type="dxa" w:w="3312"/>
          </w:tcPr>
          <w:p>
            <w:r/>
            <w:r>
              <w:rPr>
                <w:b/>
                <w:sz w:val="18"/>
              </w:rPr>
              <w:t>Materials and tools</w:t>
            </w:r>
          </w:p>
        </w:tc>
      </w:tr>
      <w:tr>
        <w:tc>
          <w:tcPr>
            <w:tcW w:type="dxa" w:w="1440"/>
          </w:tcPr>
          <w:p>
            <w:r/>
            <w:r>
              <w:rPr>
                <w:b w:val="0"/>
                <w:sz w:val="18"/>
              </w:rPr>
              <w:t>1 Hands or card</w:t>
            </w:r>
          </w:p>
        </w:tc>
        <w:tc>
          <w:tcPr>
            <w:tcW w:type="dxa" w:w="4608"/>
          </w:tcPr>
          <w:p>
            <w:r/>
            <w:r>
              <w:rPr>
                <w:b w:val="0"/>
                <w:sz w:val="18"/>
              </w:rPr>
              <w:t>The help card and class phrases exist in English, Thai and Isan; Tee's Isan line is the one the class copies. Asking is reframed as the expert's move: in Isan village life asking an elder is respect, not failure.</w:t>
            </w:r>
          </w:p>
        </w:tc>
        <w:tc>
          <w:tcPr>
            <w:tcW w:type="dxa" w:w="3312"/>
          </w:tcPr>
          <w:p>
            <w:r/>
            <w:r>
              <w:rPr>
                <w:b w:val="0"/>
                <w:sz w:val="18"/>
              </w:rPr>
              <w:t>Trilingual cue cards (EnglishTeacher.com word lists plus the Isan line in Tee's hand); the class phrase wall.</w:t>
            </w:r>
          </w:p>
        </w:tc>
      </w:tr>
      <w:tr>
        <w:tc>
          <w:tcPr>
            <w:tcW w:type="dxa" w:w="1440"/>
          </w:tcPr>
          <w:p>
            <w:r/>
            <w:r>
              <w:rPr>
                <w:b w:val="0"/>
                <w:sz w:val="18"/>
              </w:rPr>
              <w:t>2 On task</w:t>
            </w:r>
          </w:p>
        </w:tc>
        <w:tc>
          <w:tcPr>
            <w:tcW w:type="dxa" w:w="4608"/>
          </w:tcPr>
          <w:p>
            <w:r/>
            <w:r>
              <w:rPr>
                <w:b w:val="0"/>
                <w:sz w:val="18"/>
              </w:rPr>
              <w:t>Independent work offers a choice of topic from his funds of knowledge (cattle, the rice calendar, football, the market); movement is built in, as it is in his working day.</w:t>
            </w:r>
          </w:p>
        </w:tc>
        <w:tc>
          <w:tcPr>
            <w:tcW w:type="dxa" w:w="3312"/>
          </w:tcPr>
          <w:p>
            <w:r/>
            <w:r>
              <w:rPr>
                <w:b w:val="0"/>
                <w:sz w:val="18"/>
              </w:rPr>
              <w:t>ESLteacher.com worksheets at WIDA 1 with Thai gloss on his topics; the break pass; the Classroomscreen timer.</w:t>
            </w:r>
          </w:p>
        </w:tc>
      </w:tr>
      <w:tr>
        <w:tc>
          <w:tcPr>
            <w:tcW w:type="dxa" w:w="1440"/>
          </w:tcPr>
          <w:p>
            <w:r/>
            <w:r>
              <w:rPr>
                <w:b w:val="0"/>
                <w:sz w:val="18"/>
              </w:rPr>
              <w:t>3 Start the task</w:t>
            </w:r>
          </w:p>
        </w:tc>
        <w:tc>
          <w:tcPr>
            <w:tcW w:type="dxa" w:w="4608"/>
          </w:tcPr>
          <w:p>
            <w:r/>
            <w:r>
              <w:rPr>
                <w:b w:val="0"/>
                <w:sz w:val="18"/>
              </w:rPr>
              <w:t>Translanguaging as policy: understood in Isan with the buddy, planned in Thai, produced in English; the Thai-gloss version is the normal version, used by half the class.</w:t>
            </w:r>
          </w:p>
        </w:tc>
        <w:tc>
          <w:tcPr>
            <w:tcW w:type="dxa" w:w="3312"/>
          </w:tcPr>
          <w:p>
            <w:r/>
            <w:r>
              <w:rPr>
                <w:b w:val="0"/>
                <w:sz w:val="18"/>
              </w:rPr>
              <w:t>Three-level texts with Thai gloss and transliteration (ESLteacher.com builder); the buddy; EnglishTeacher.com on the television for the key words.</w:t>
            </w:r>
          </w:p>
        </w:tc>
      </w:tr>
      <w:tr>
        <w:tc>
          <w:tcPr>
            <w:tcW w:type="dxa" w:w="1440"/>
          </w:tcPr>
          <w:p>
            <w:r/>
            <w:r>
              <w:rPr>
                <w:b w:val="0"/>
                <w:sz w:val="18"/>
              </w:rPr>
              <w:t>4 No mocking; tootling</w:t>
            </w:r>
          </w:p>
        </w:tc>
        <w:tc>
          <w:tcPr>
            <w:tcW w:type="dxa" w:w="4608"/>
          </w:tcPr>
          <w:p>
            <w:r/>
            <w:r>
              <w:rPr>
                <w:b w:val="0"/>
                <w:sz w:val="18"/>
              </w:rPr>
              <w:t>Status in Thai and Isan culture is relational and public; the plan gives Tee face for noticing good English (his tootles read aloud) and protects everyone's face by banning public correction, including by the teacher. "Mai pen rai, try again" is the class's own phrase.</w:t>
            </w:r>
          </w:p>
        </w:tc>
        <w:tc>
          <w:tcPr>
            <w:tcW w:type="dxa" w:w="3312"/>
          </w:tcPr>
          <w:p>
            <w:r/>
            <w:r>
              <w:rPr>
                <w:b w:val="0"/>
                <w:sz w:val="18"/>
              </w:rPr>
              <w:t>Tootle slips in three languages; ClassDojo Good Behavior Game; the phrase wall; the USAEnglish.com Story Telling score sheet so peer feedback is specific (voice, eye contact, story, language), not mockery.</w:t>
            </w:r>
          </w:p>
        </w:tc>
      </w:tr>
      <w:tr>
        <w:tc>
          <w:tcPr>
            <w:tcW w:type="dxa" w:w="1440"/>
          </w:tcPr>
          <w:p>
            <w:r/>
            <w:r>
              <w:rPr>
                <w:b w:val="0"/>
                <w:sz w:val="18"/>
              </w:rPr>
              <w:t>5 Transitions</w:t>
            </w:r>
          </w:p>
        </w:tc>
        <w:tc>
          <w:tcPr>
            <w:tcW w:type="dxa" w:w="4608"/>
          </w:tcPr>
          <w:p>
            <w:r/>
            <w:r>
              <w:rPr>
                <w:b w:val="0"/>
                <w:sz w:val="18"/>
              </w:rPr>
              <w:t>The job carries real responsibility in front of the group, which is how status is earned in his village (the boy trusted with the buffalo); the routine is explained in Isan by the co-teacher.</w:t>
            </w:r>
          </w:p>
        </w:tc>
        <w:tc>
          <w:tcPr>
            <w:tcW w:type="dxa" w:w="3312"/>
          </w:tcPr>
          <w:p>
            <w:r/>
            <w:r>
              <w:rPr>
                <w:b w:val="0"/>
                <w:sz w:val="18"/>
              </w:rPr>
              <w:t>Classroomscreen timer and the door job card; the transition routine in Thai and pictures (LEP Step 4).</w:t>
            </w:r>
          </w:p>
        </w:tc>
      </w:tr>
      <w:tr>
        <w:tc>
          <w:tcPr>
            <w:tcW w:type="dxa" w:w="1440"/>
          </w:tcPr>
          <w:p>
            <w:r/>
            <w:r>
              <w:rPr>
                <w:b w:val="0"/>
                <w:sz w:val="18"/>
              </w:rPr>
              <w:t>6 Mornings</w:t>
            </w:r>
          </w:p>
        </w:tc>
        <w:tc>
          <w:tcPr>
            <w:tcW w:type="dxa" w:w="4608"/>
          </w:tcPr>
          <w:p>
            <w:r/>
            <w:r>
              <w:rPr>
                <w:b w:val="0"/>
                <w:sz w:val="18"/>
              </w:rPr>
              <w:t>Food first, without stigma; a two-sentence check-in in Isan with an adult who knows his grandmother; the first lesson opens with the mor lam line of the week, his own music used to teach English stress.</w:t>
            </w:r>
          </w:p>
        </w:tc>
        <w:tc>
          <w:tcPr>
            <w:tcW w:type="dxa" w:w="3312"/>
          </w:tcPr>
          <w:p>
            <w:r/>
            <w:r>
              <w:rPr>
                <w:b w:val="0"/>
                <w:sz w:val="18"/>
              </w:rPr>
              <w:t>The snack shelf; the bilingual morning card; the mor lam line on the screen with the English under it; EnglishTeacher.com's Ploy Hears for the sound of the day.</w:t>
            </w:r>
          </w:p>
        </w:tc>
      </w:tr>
      <w:tr>
        <w:tc>
          <w:tcPr>
            <w:tcW w:type="dxa" w:w="1440"/>
          </w:tcPr>
          <w:p>
            <w:r/>
            <w:r>
              <w:rPr>
                <w:b w:val="0"/>
                <w:sz w:val="18"/>
              </w:rPr>
              <w:t>7 Learning</w:t>
            </w:r>
          </w:p>
        </w:tc>
        <w:tc>
          <w:tcPr>
            <w:tcW w:type="dxa" w:w="4608"/>
          </w:tcPr>
          <w:p>
            <w:r/>
            <w:r>
              <w:rPr>
                <w:b w:val="0"/>
                <w:sz w:val="18"/>
              </w:rPr>
              <w:t>Identity texts: Tee's class-book page is his grandmother's cattle story, told in Isan, written in English with the Isan beside it, read on the Friday stage; the content of his English is his life; the competition is a stage the village recognizes.</w:t>
            </w:r>
          </w:p>
        </w:tc>
        <w:tc>
          <w:tcPr>
            <w:tcW w:type="dxa" w:w="3312"/>
          </w:tcPr>
          <w:p>
            <w:r/>
            <w:r>
              <w:rPr>
                <w:b w:val="0"/>
                <w:sz w:val="18"/>
              </w:rPr>
              <w:t>The grandparent interview sheet; the recorder on benjamincunningham.com for the listening corner; the class book; USAEnglish.com lesson plans and Thai parents' page; Plickers for "words I own".</w:t>
            </w:r>
          </w:p>
        </w:tc>
      </w:tr>
    </w:tbl>
    <w:p>
      <w:pPr>
        <w:spacing w:after="40"/>
      </w:pPr>
    </w:p>
    <w:p>
      <w:pPr>
        <w:spacing w:before="200" w:after="80"/>
      </w:pPr>
      <w:r>
        <w:rPr>
          <w:b/>
        </w:rPr>
        <w:t>ESL Methods: Reflection on cultural and linguistic background, schooling behavior, engagement and achievement</w:t>
      </w:r>
    </w:p>
    <w:p>
      <w:pPr>
        <w:spacing w:after="120"/>
      </w:pPr>
      <w:r>
        <w:rPr>
          <w:b w:val="0"/>
          <w:i w:val="0"/>
          <w:sz w:val="20"/>
        </w:rPr>
        <w:t>Almost everything that looked like misbehavior in Tee was language and culture meeting a classroom that had not been built for them. He called out because he knew the answer in Thai and had no sanctioned way to show it in a lesson that ran in English; he refused the worksheet because it was in a language he reads at the Entering level and refusal was the only way to avoid being seen failing in front of the boys; he mocked because status, in his world as in mine, is given and taken in front of others, and the room had made English the only currency and made him poor in it; he was late and asleep because he had been working before dawn in a farming economy the timetable ignores. The research says this is the ordinary case for an English learner. Krashen's affective filter (1982) describes a child whose anxiety and low self-confidence block the input he could otherwise acquire; Cummins (2001) shows how schools that coerce children out of their first language produce the disengagement they then punish; Suárez-Orozco, Suárez-Orozco and Todorova (2008) followed newcomer immigrant students in US schools for five years and found that relationships with teachers, not initial English proficiency, best predicted whose trajectory held; Goodenow and Grady (1993) found that school belonging predicted motivation and effort in early adolescents. Behind these sits the Thai case: Isan, the home language of a third of Thailand, has had low status in Thai schooling for a century (Smalley, 1994), so a child like Tee has already learned, before any English teacher meets him, that the language he thinks in is the one the school does not want to hear.</w:t>
      </w:r>
    </w:p>
    <w:p>
      <w:pPr>
        <w:spacing w:after="160"/>
      </w:pPr>
      <w:r>
        <w:rPr>
          <w:b w:val="0"/>
          <w:i w:val="0"/>
          <w:sz w:val="20"/>
        </w:rPr>
        <w:t>The connection to academic engagement and achievement is the mechanism of this plan. When the home language is a resource rather than a problem (the Isan line on the card, the buddy, the gloss text, the story told in Isan first), the filter drops and the input gets through; when the content is the child's life (cattle, the market, mor lam), the task is worth the effort and the child is the expert on something in the room; when the culture's rules about face are respected (private correction, public credit for noticing good English), the status he was taking by mocking is available for noticing instead; and when the family is in the plan in its own language and on its own calendar, home and school pull the same way. Each of those is an equity-focused practice, and each shows up as a number: words owned rising from nine toward forty while call-outs fall from eight to two is the same child, with the same brain, in a room that finally fits him. The program-level evidence points the same way: students who keep their first language in school reach higher English achievement in the long run than students taught in English only (Thomas and Collier, 2002), and in Washington, DC, where I will teach, dual-language students are reclassified later but finish stronger (Umansky and Reardon, 2014). Culturally relevant pedagogy, in Ladson-Billings's sense, is not a kindness added to instruction; it is the condition under which an English learner's engagement, and then achievement, becomes possible.</w:t>
      </w:r>
    </w:p>
    <w:p>
      <w:pPr>
        <w:spacing w:before="200" w:after="80"/>
      </w:pPr>
      <w:r>
        <w:rPr>
          <w:b/>
        </w:rPr>
        <w:t>References</w:t>
      </w:r>
    </w:p>
    <w:p>
      <w:pPr>
        <w:spacing w:after="40"/>
        <w:ind w:left="432" w:hanging="432"/>
      </w:pPr>
      <w:r>
        <w:rPr>
          <w:sz w:val="18"/>
        </w:rPr>
        <w:t>Bruhn, A., McDaniel, S., &amp; Kreigh, C. (2015). Self-monitoring interventions for students with behavior problems: A systematic review of current research. Behavioral Disorders, 40(2), 102–121.</w:t>
      </w:r>
    </w:p>
    <w:p>
      <w:pPr>
        <w:spacing w:after="40"/>
        <w:ind w:left="432" w:hanging="432"/>
      </w:pPr>
      <w:r>
        <w:rPr>
          <w:sz w:val="18"/>
        </w:rPr>
        <w:t>Cooper, J. O., Heron, T. E., &amp; Heward, W. L. (2020). Applied behavior analysis (3rd ed.). Pearson.</w:t>
      </w:r>
    </w:p>
    <w:p>
      <w:pPr>
        <w:spacing w:after="40"/>
        <w:ind w:left="432" w:hanging="432"/>
      </w:pPr>
      <w:r>
        <w:rPr>
          <w:sz w:val="18"/>
        </w:rPr>
        <w:t>Crone, D. A., Hawken, L. S., &amp; Horner, R. H. (2015). Building positive behavior support systems in schools: Functional behavioral assessment (2nd ed.). Guilford Press.</w:t>
      </w:r>
    </w:p>
    <w:p>
      <w:pPr>
        <w:spacing w:after="40"/>
        <w:ind w:left="432" w:hanging="432"/>
      </w:pPr>
      <w:r>
        <w:rPr>
          <w:sz w:val="18"/>
        </w:rPr>
        <w:t>Cummins, J. (2001). Negotiating identities: Education for empowerment in a diverse society (2nd ed.). California Association for Bilingual Education.</w:t>
      </w:r>
    </w:p>
    <w:p>
      <w:pPr>
        <w:spacing w:after="40"/>
        <w:ind w:left="432" w:hanging="432"/>
      </w:pPr>
      <w:r>
        <w:rPr>
          <w:sz w:val="18"/>
        </w:rPr>
        <w:t>Cummins, J., &amp; Early, M. (Eds.). (2011). Identity texts: The collaborative creation of power in multilingual schools. Trentham Books.</w:t>
      </w:r>
    </w:p>
    <w:p>
      <w:pPr>
        <w:spacing w:after="40"/>
        <w:ind w:left="432" w:hanging="432"/>
      </w:pPr>
      <w:r>
        <w:rPr>
          <w:sz w:val="18"/>
        </w:rPr>
        <w:t>Dillon, M. B. M., Radley, K. C., Tingstrom, D. H., Dart, E. H., &amp; Barry, C. T. (2019). The effects of tootling via ClassDojo on student behavior in elementary classrooms. School Psychology Review, 48(1), 18–30.</w:t>
      </w:r>
    </w:p>
    <w:p>
      <w:pPr>
        <w:spacing w:after="40"/>
        <w:ind w:left="432" w:hanging="432"/>
      </w:pPr>
      <w:r>
        <w:rPr>
          <w:sz w:val="18"/>
        </w:rPr>
        <w:t>García, O., &amp; Wei, L. (2014). Translanguaging: Language, bilingualism and education. Palgrave Macmillan.</w:t>
      </w:r>
    </w:p>
    <w:p>
      <w:pPr>
        <w:spacing w:after="40"/>
        <w:ind w:left="432" w:hanging="432"/>
      </w:pPr>
      <w:r>
        <w:rPr>
          <w:sz w:val="18"/>
        </w:rPr>
        <w:t>Gay, G. (2010). Culturally responsive teaching: Theory, research, and practice (2nd ed.). Teachers College Press.</w:t>
      </w:r>
    </w:p>
    <w:p>
      <w:pPr>
        <w:spacing w:after="40"/>
        <w:ind w:left="432" w:hanging="432"/>
      </w:pPr>
      <w:r>
        <w:rPr>
          <w:sz w:val="18"/>
        </w:rPr>
        <w:t>Goodenow, C., &amp; Grady, K. E. (1993). The relationship of school belonging and friends' values to academic motivation among urban adolescent students. Journal of Experimental Education, 62(1), 60–71.</w:t>
      </w:r>
    </w:p>
    <w:p>
      <w:pPr>
        <w:spacing w:after="40"/>
        <w:ind w:left="432" w:hanging="432"/>
      </w:pPr>
      <w:r>
        <w:rPr>
          <w:sz w:val="18"/>
        </w:rPr>
        <w:t>Hammond, Z. (2015). Culturally responsive teaching and the brain. Corwin.</w:t>
      </w:r>
    </w:p>
    <w:p>
      <w:pPr>
        <w:spacing w:after="40"/>
        <w:ind w:left="432" w:hanging="432"/>
      </w:pPr>
      <w:r>
        <w:rPr>
          <w:sz w:val="18"/>
        </w:rPr>
        <w:t>Hawken, L. S., Crone, D. A., Bundock, K., &amp; Horner, R. H. (2020). Responding to problem behavior in schools: The check-in, check-out intervention (3rd ed.). Guilford Press.</w:t>
      </w:r>
    </w:p>
    <w:p>
      <w:pPr>
        <w:spacing w:after="40"/>
        <w:ind w:left="432" w:hanging="432"/>
      </w:pPr>
      <w:r>
        <w:rPr>
          <w:sz w:val="18"/>
        </w:rPr>
        <w:t>Krashen, S. D. (1982). Principles and practice in second language acquisition. Pergamon.</w:t>
      </w:r>
    </w:p>
    <w:p>
      <w:pPr>
        <w:spacing w:after="40"/>
        <w:ind w:left="432" w:hanging="432"/>
      </w:pPr>
      <w:r>
        <w:rPr>
          <w:sz w:val="18"/>
        </w:rPr>
        <w:t>Ladson-Billings, G. (1995). Toward a theory of culturally relevant pedagogy. American Educational Research Journal, 32(3), 465–491.</w:t>
      </w:r>
    </w:p>
    <w:p>
      <w:pPr>
        <w:spacing w:after="40"/>
        <w:ind w:left="432" w:hanging="432"/>
      </w:pPr>
      <w:r>
        <w:rPr>
          <w:sz w:val="18"/>
        </w:rPr>
        <w:t>Lynne, S., Radley, K. C., Dart, E. H., Tingstrom, D. H., Barry, C. T., &amp; Lum, J. D. K. (2017). Use of a technology-enhanced version of the Good Behavior Game in elementary school classrooms. Psychology in the Schools, 54(9), 1049–1063.</w:t>
      </w:r>
    </w:p>
    <w:p>
      <w:pPr>
        <w:spacing w:after="40"/>
        <w:ind w:left="432" w:hanging="432"/>
      </w:pPr>
      <w:r>
        <w:rPr>
          <w:sz w:val="18"/>
        </w:rPr>
        <w:t>Paris, D., &amp; Alim, H. S. (Eds.). (2017). Culturally sustaining pedagogies. Teachers College Press.</w:t>
      </w:r>
    </w:p>
    <w:p>
      <w:pPr>
        <w:spacing w:after="40"/>
        <w:ind w:left="432" w:hanging="432"/>
      </w:pPr>
      <w:r>
        <w:rPr>
          <w:sz w:val="18"/>
        </w:rPr>
        <w:t>Simonsen, B., Fairbanks, S., Briesch, A., Myers, D., &amp; Sugai, G. (2008). Evidence-based practices in classroom management: Considerations for research to practice. Education and Treatment of Children, 31(3), 351–380.</w:t>
      </w:r>
    </w:p>
    <w:p>
      <w:pPr>
        <w:spacing w:after="40"/>
        <w:ind w:left="432" w:hanging="432"/>
      </w:pPr>
      <w:r>
        <w:rPr>
          <w:sz w:val="18"/>
        </w:rPr>
        <w:t>Smalley, W. A. (1994). Linguistic diversity and national unity: Language ecology in Thailand. University of Chicago Press.</w:t>
      </w:r>
    </w:p>
    <w:p>
      <w:pPr>
        <w:spacing w:after="40"/>
        <w:ind w:left="432" w:hanging="432"/>
      </w:pPr>
      <w:r>
        <w:rPr>
          <w:sz w:val="18"/>
        </w:rPr>
        <w:t>Suárez-Orozco, C., Suárez-Orozco, M. M., &amp; Todorova, I. (2008). Learning a new land: Immigrant students in American society. Harvard University Press.</w:t>
      </w:r>
    </w:p>
    <w:p>
      <w:pPr>
        <w:spacing w:after="40"/>
        <w:ind w:left="432" w:hanging="432"/>
      </w:pPr>
      <w:r>
        <w:rPr>
          <w:sz w:val="18"/>
        </w:rPr>
        <w:t>Thomas, W. P., &amp; Collier, V. P. (2002). A national study of school effectiveness for language minority students' long-term academic achievement. CREDE.</w:t>
      </w:r>
    </w:p>
    <w:p>
      <w:pPr>
        <w:spacing w:after="40"/>
        <w:ind w:left="432" w:hanging="432"/>
      </w:pPr>
      <w:r>
        <w:rPr>
          <w:sz w:val="18"/>
        </w:rPr>
        <w:t>Umansky, I. M., &amp; Reardon, S. F. (2014). Reclassification patterns among Latino English learner students in bilingual, dual immersion, and English immersion classrooms. American Educational Research Journal, 51(5), 879–912.</w:t>
      </w:r>
    </w:p>
    <w:p>
      <w:pPr>
        <w:spacing w:after="40"/>
        <w:ind w:left="432" w:hanging="432"/>
      </w:pPr>
      <w:r>
        <w:rPr>
          <w:sz w:val="18"/>
        </w:rPr>
        <w:t>WIDA. (2020). WIDA English language development standards framework, 2020 edition. Board of Regents of the University of Wisconsin System.</w:t>
      </w:r>
    </w:p>
    <w:sectPr w:rsidR="00FC693F" w:rsidRPr="0006063C" w:rsidSect="00034616">
      <w:pgSz w:w="12240" w:h="15840"/>
      <w:pgMar w:top="1296" w:right="1584" w:bottom="1296" w:left="15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